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2129"/>
    <w:p>
      <w:pPr>
        <w:pStyle w:val="Heading1"/>
      </w:pPr>
      <w:r>
        <w:t xml:space="preserve">Homiletics Analysis: Revelation 2:1–29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2 contains four of the seven letters Christ dictates to John for the churches of Asia Minor: Ephesus (vv. 1–7), Smyrna (vv. 8–11), Pergamum (vv. 12–17), and Thyatira (vv. 18–29). Each letter follows a recognizable pattern: a self-identification of Christ drawn from the vision of chapter 1, a declaration of Christ’s knowledge of the church’s condition (</w:t>
      </w:r>
      <w:r>
        <w:t xml:space="preserve">“I know your works”</w:t>
      </w:r>
      <w:r>
        <w:t xml:space="preserve">), a commendation where warranted, a rebuke or warning where required, a call to repentance or endurance, and a promise to the overcomer. The four churches represent a spectrum of spiritual conditions: Ephesus has sound doctrine but has abandoned its first love; Smyrna is faithful under severe persecution and poverty; Pergamum holds to Christ’s name but tolerates false teaching and sexual immorality in its midst; Thyatira shows growth in love and service but tolerates a prophetess whose teaching leads believers into idolatry and sexual immorality. Christ speaks to each church with precise diagnostic knowledge, authority to commend and rebuke, and specific promises tied to final perseverance.</w:t>
      </w:r>
    </w:p>
    <w:p>
      <w:pPr>
        <w:pStyle w:val="BodyText"/>
      </w:pPr>
      <w:r>
        <w:rPr>
          <w:b/>
          <w:bCs/>
        </w:rPr>
        <w:t xml:space="preserve">This Text — Intent</w:t>
      </w:r>
    </w:p>
    <w:p>
      <w:pPr>
        <w:pStyle w:val="BodyText"/>
      </w:pPr>
      <w:r>
        <w:t xml:space="preserve">God is seeking to accomplish a searching self-examination in the churches — and in every reader who belongs to a church. Christ’s letters function as a divine audit. The intent is not merely to inform but to confront, comfort, and call. He intends for churches that have drifted to feel the weight of what they have lost and return. He intends for churches under suffering to feel the full force of His sovereignty over their affliction and His guarantee of their vindication. He intends for churches tolerating compromise to see that toleration is not neutrality but complicity. And He intends for every believer to hear a personal call —</w:t>
      </w:r>
      <w:r>
        <w:t xml:space="preserve"> </w:t>
      </w:r>
      <w:r>
        <w:t xml:space="preserve">“He who has an ear, let him hear what the Spirit says to the churches”</w:t>
      </w:r>
      <w:r>
        <w:t xml:space="preserve"> </w:t>
      </w:r>
      <w:r>
        <w:t xml:space="preserve">— that breaks through institutional Christianity and addresses the individual soul. The overarching intent is to demonstrate that the risen Christ</w:t>
      </w:r>
      <w:r>
        <w:t xml:space="preserve"> </w:t>
      </w:r>
      <w:r>
        <w:rPr>
          <w:i/>
          <w:iCs/>
        </w:rPr>
        <w:t xml:space="preserve">knows</w:t>
      </w:r>
      <w:r>
        <w:t xml:space="preserve">,</w:t>
      </w:r>
      <w:r>
        <w:t xml:space="preserve"> </w:t>
      </w:r>
      <w:r>
        <w:rPr>
          <w:i/>
          <w:iCs/>
        </w:rPr>
        <w:t xml:space="preserve">cares</w:t>
      </w:r>
      <w:r>
        <w:t xml:space="preserve">,</w:t>
      </w:r>
      <w:r>
        <w:t xml:space="preserve"> </w:t>
      </w:r>
      <w:r>
        <w:rPr>
          <w:i/>
          <w:iCs/>
        </w:rPr>
        <w:t xml:space="preserve">rules</w:t>
      </w:r>
      <w:r>
        <w:t xml:space="preserve">, and</w:t>
      </w:r>
      <w:r>
        <w:t xml:space="preserve"> </w:t>
      </w:r>
      <w:r>
        <w:rPr>
          <w:i/>
          <w:iCs/>
        </w:rPr>
        <w:t xml:space="preserve">will act</w:t>
      </w:r>
      <w:r>
        <w:t xml:space="preserve"> </w:t>
      </w:r>
      <w:r>
        <w:t xml:space="preserve">— and that neither suffering nor comfort nor doctrinal precision nor outward growth exempts a church from His searching gaze.</w:t>
      </w:r>
    </w:p>
    <w:p>
      <w:r>
        <w:pict>
          <v:rect style="width:0;height:1.5pt" o:hralign="center" o:hrstd="t" o:hr="t"/>
        </w:pict>
      </w:r>
    </w:p>
    <w:p>
      <w:pPr>
        <w:pStyle w:val="FirstParagraph"/>
      </w:pPr>
      <w:r>
        <w:rPr>
          <w:b/>
          <w:bCs/>
        </w:rPr>
        <w:t xml:space="preserve">Subject Sentence:</w:t>
      </w:r>
      <w:r>
        <w:t xml:space="preserve"> </w:t>
      </w:r>
      <w:r>
        <w:t xml:space="preserve">The risen Christ audits four churches — commending, rebuking, and calling each to faithful endurance.</w:t>
      </w:r>
    </w:p>
    <w:p>
      <w:r>
        <w:pict>
          <v:rect style="width:0;height:1.5pt" o:hralign="center" o:hrstd="t" o:hr="t"/>
        </w:pict>
      </w:r>
    </w:p>
    <w:p>
      <w:pPr>
        <w:pStyle w:val="FirstParagraph"/>
      </w:pPr>
      <w:r>
        <w:rPr>
          <w:b/>
          <w:bCs/>
        </w:rPr>
        <w:t xml:space="preserve">Primary Claim:</w:t>
      </w:r>
      <w:r>
        <w:t xml:space="preserve"> </w:t>
      </w:r>
      <w:r>
        <w:t xml:space="preserve">Christ’s intimate, authoritative knowledge of His churches means that no spiritual drift, no persecution, and no internal compromise escapes His gaze — and He is calling every church, and every believer within it, to hear, repent, and overcome.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referents of the seven letters</w:t>
      </w:r>
    </w:p>
    <w:p>
      <w:pPr>
        <w:pStyle w:val="BodyText"/>
      </w:pPr>
      <w:r>
        <w:t xml:space="preserve">The most significant interpretive divergence on Revelation 2–3 concerns what these letters</w:t>
      </w:r>
      <w:r>
        <w:t xml:space="preserve"> </w:t>
      </w:r>
      <w:r>
        <w:rPr>
          <w:i/>
          <w:iCs/>
        </w:rPr>
        <w:t xml:space="preserve">are</w:t>
      </w:r>
      <w:r>
        <w:t xml:space="preserve"> </w:t>
      </w:r>
      <w:r>
        <w:t xml:space="preserve">and</w:t>
      </w:r>
      <w:r>
        <w:t xml:space="preserve"> </w:t>
      </w:r>
      <w:r>
        <w:rPr>
          <w:i/>
          <w:iCs/>
        </w:rPr>
        <w:t xml:space="preserve">who</w:t>
      </w:r>
      <w:r>
        <w:t xml:space="preserve"> </w:t>
      </w:r>
      <w:r>
        <w:t xml:space="preserve">they are for. Four main positions exist. The</w:t>
      </w:r>
      <w:r>
        <w:t xml:space="preserve"> </w:t>
      </w:r>
      <w:r>
        <w:rPr>
          <w:i/>
          <w:iCs/>
        </w:rPr>
        <w:t xml:space="preserve">purely historical</w:t>
      </w:r>
      <w:r>
        <w:t xml:space="preserve"> </w:t>
      </w:r>
      <w:r>
        <w:t xml:space="preserve">reading holds that the letters address only the seven literal first-century churches with no intended typological or ongoing application. The</w:t>
      </w:r>
      <w:r>
        <w:t xml:space="preserve"> </w:t>
      </w:r>
      <w:r>
        <w:rPr>
          <w:i/>
          <w:iCs/>
        </w:rPr>
        <w:t xml:space="preserve">church-age periodization</w:t>
      </w:r>
      <w:r>
        <w:t xml:space="preserve"> </w:t>
      </w:r>
      <w:r>
        <w:t xml:space="preserve">reading (common in Dispensationalism) treats each of the seven churches as representing a successive era of church history — Ephesus as the apostolic church, Smyrna as the persecution era, and so on through to Laodicea as the apostate end-times church. The</w:t>
      </w:r>
      <w:r>
        <w:t xml:space="preserve"> </w:t>
      </w:r>
      <w:r>
        <w:rPr>
          <w:i/>
          <w:iCs/>
        </w:rPr>
        <w:t xml:space="preserve">ideal-type</w:t>
      </w:r>
      <w:r>
        <w:t xml:space="preserve"> </w:t>
      </w:r>
      <w:r>
        <w:t xml:space="preserve">reading holds that the seven churches represent recurring spiritual conditions present in every age of the church. The</w:t>
      </w:r>
      <w:r>
        <w:t xml:space="preserve"> </w:t>
      </w:r>
      <w:r>
        <w:rPr>
          <w:i/>
          <w:iCs/>
        </w:rPr>
        <w:t xml:space="preserve">Reformed/pastoral</w:t>
      </w:r>
      <w:r>
        <w:t xml:space="preserve"> </w:t>
      </w:r>
      <w:r>
        <w:t xml:space="preserve">reading, which is preferred here, holds that the letters are written to actual historical churches, that their conditions and challenges are real and specific, and that their canonical inclusion makes them normative and exemplary for all churches in all ages — not because each church</w:t>
      </w:r>
      <w:r>
        <w:t xml:space="preserve"> </w:t>
      </w:r>
      <w:r>
        <w:t xml:space="preserve">“represents”</w:t>
      </w:r>
      <w:r>
        <w:t xml:space="preserve"> </w:t>
      </w:r>
      <w:r>
        <w:t xml:space="preserve">an era but because the spiritual conditions they exhibit (loss of first love, faithful suffering, doctrinal compromise, toleration of false teaching) are perennial. Christ’s self-identification in each letter as</w:t>
      </w:r>
      <w:r>
        <w:t xml:space="preserve"> </w:t>
      </w:r>
      <w:r>
        <w:t xml:space="preserve">“the One who walks among the lampstands”</w:t>
      </w:r>
      <w:r>
        <w:t xml:space="preserve"> </w:t>
      </w:r>
      <w:r>
        <w:t xml:space="preserve">(1:13; 2:1) establishes that these are not symbols of eras but living congregations under His ongoing pastoral oversight.</w:t>
      </w:r>
    </w:p>
    <w:p>
      <w:pPr>
        <w:pStyle w:val="BodyText"/>
      </w:pPr>
      <w:r>
        <w:t xml:space="preserve">The Dispensational periodization reading must be</w:t>
      </w:r>
      <w:r>
        <w:t xml:space="preserve"> </w:t>
      </w:r>
      <w:r>
        <w:rPr>
          <w:b/>
          <w:bCs/>
        </w:rPr>
        <w:t xml:space="preserve">refuted</w:t>
      </w:r>
      <w:r>
        <w:t xml:space="preserve"> </w:t>
      </w:r>
      <w:r>
        <w:t xml:space="preserve">on two grounds: first, the text itself gives no indication that the letters are sequentially predictive — the churches are addressed as present realities, not future symbols; second, the pattern of commendation and rebuke applied to each church breaks down under periodization (Smyrna and Philadelphia receive no rebuke — this is pastorally significant, not eschatologically sequential). The purely historical reading should be</w:t>
      </w:r>
      <w:r>
        <w:t xml:space="preserve"> </w:t>
      </w:r>
      <w:r>
        <w:rPr>
          <w:b/>
          <w:bCs/>
        </w:rPr>
        <w:t xml:space="preserve">qualified</w:t>
      </w:r>
      <w:r>
        <w:t xml:space="preserve">: the letters are indeed historically anchored, and attention to the specific geographical and cultural context of each city (Ephesus as a center of commerce and imperial cult, Pergamum as the seat of Roman authority in Asia, Thyatira as a guild-city) genuinely illuminates the text. But the canonical placement of these letters within a book addressed to the whole church (</w:t>
      </w:r>
      <w:r>
        <w:t xml:space="preserve">“what the Spirit says to the churches”</w:t>
      </w:r>
      <w:r>
        <w:t xml:space="preserve"> </w:t>
      </w:r>
      <w:r>
        <w:t xml:space="preserve">— plural, every time) resists confinement to purely historical reference. The ideal-type and Reformed/pastoral readings converge at this point and are mutually reinforcing.</w:t>
      </w:r>
    </w:p>
    <w:p>
      <w:pPr>
        <w:pStyle w:val="BodyText"/>
      </w:pPr>
      <w:r>
        <w:rPr>
          <w:b/>
          <w:bCs/>
        </w:rPr>
        <w:t xml:space="preserve">The identity of</w:t>
      </w:r>
      <w:r>
        <w:rPr>
          <w:b/>
          <w:bCs/>
        </w:rPr>
        <w:t xml:space="preserve"> </w:t>
      </w:r>
      <w:r>
        <w:rPr>
          <w:b/>
          <w:bCs/>
        </w:rPr>
        <w:t xml:space="preserve">“Jezebel”</w:t>
      </w:r>
      <w:r>
        <w:rPr>
          <w:b/>
          <w:bCs/>
        </w:rPr>
        <w:t xml:space="preserve"> </w:t>
      </w:r>
      <w:r>
        <w:rPr>
          <w:b/>
          <w:bCs/>
        </w:rPr>
        <w:t xml:space="preserve">in Thyatira</w:t>
      </w:r>
    </w:p>
    <w:p>
      <w:pPr>
        <w:pStyle w:val="BodyText"/>
      </w:pPr>
      <w:r>
        <w:t xml:space="preserve">The woman called</w:t>
      </w:r>
      <w:r>
        <w:t xml:space="preserve"> </w:t>
      </w:r>
      <w:r>
        <w:t xml:space="preserve">“Jezebel”</w:t>
      </w:r>
      <w:r>
        <w:t xml:space="preserve"> </w:t>
      </w:r>
      <w:r>
        <w:t xml:space="preserve">in 2:20 is interpreted variously as a literal individual prophetess, a symbolic figure representing a false-teaching faction, or an OT typological reference meant to invoke Ahab’s court. The Reformed reading holds all three in appropriate tension: she is likely a real individual claiming prophetic authority whose teaching Christ has identified with the OT type because her influence — leading believers into idolatrous practices likely connected to trade guilds and the accommodation of pagan religious meals — mirrors Jezebel’s seduction of Israel. The text’s emphasis that Christ</w:t>
      </w:r>
      <w:r>
        <w:t xml:space="preserve"> </w:t>
      </w:r>
      <w:r>
        <w:t xml:space="preserve">“gave her time to repent, and she refuses to repent”</w:t>
      </w:r>
      <w:r>
        <w:t xml:space="preserve"> </w:t>
      </w:r>
      <w:r>
        <w:t xml:space="preserve">(v. 21) confirms she is a real person, not a pure symbol. This should be</w:t>
      </w:r>
      <w:r>
        <w:t xml:space="preserve"> </w:t>
      </w:r>
      <w:r>
        <w:rPr>
          <w:b/>
          <w:bCs/>
        </w:rPr>
        <w:t xml:space="preserve">acknowledged</w:t>
      </w:r>
      <w:r>
        <w:t xml:space="preserve"> </w:t>
      </w:r>
      <w:r>
        <w:t xml:space="preserve">and not flattened in either direction.</w:t>
      </w:r>
    </w:p>
    <w:p>
      <w:pPr>
        <w:pStyle w:val="BodyText"/>
      </w:pPr>
      <w:r>
        <w:rPr>
          <w:b/>
          <w:bCs/>
        </w:rPr>
        <w:t xml:space="preserve">“What Satan’s throne is”</w:t>
      </w:r>
      <w:r>
        <w:rPr>
          <w:b/>
          <w:bCs/>
        </w:rPr>
        <w:t xml:space="preserve"> </w:t>
      </w:r>
      <w:r>
        <w:rPr>
          <w:b/>
          <w:bCs/>
        </w:rPr>
        <w:t xml:space="preserve">in Pergamum</w:t>
      </w:r>
    </w:p>
    <w:p>
      <w:pPr>
        <w:pStyle w:val="BodyText"/>
      </w:pPr>
      <w:r>
        <w:t xml:space="preserve">Whether</w:t>
      </w:r>
      <w:r>
        <w:t xml:space="preserve"> </w:t>
      </w:r>
      <w:r>
        <w:t xml:space="preserve">“Satan’s throne”</w:t>
      </w:r>
      <w:r>
        <w:t xml:space="preserve"> </w:t>
      </w:r>
      <w:r>
        <w:t xml:space="preserve">(v. 13) refers to the altar of Zeus, the seat of Roman imperial cult worship, the headquarters of the imperial administration, or a combination of these is genuinely contested among commentators. The text does not resolve this definitively, and the interpreter need not. What the text establishes with certainty is that Pergamum was a city saturated with concentrated, institutionalized opposition to exclusive Christian allegiance — and that Christ acknowledges the extreme difficulty of faithfulness in such an environment. Any exposition that skips past the weight of</w:t>
      </w:r>
      <w:r>
        <w:t xml:space="preserve"> </w:t>
      </w:r>
      <w:r>
        <w:t xml:space="preserve">“where Satan dwells”</w:t>
      </w:r>
      <w:r>
        <w:t xml:space="preserve"> </w:t>
      </w:r>
      <w:r>
        <w:t xml:space="preserve">and proceeds to the rebuke without first honoring the commendation (</w:t>
      </w:r>
      <w:r>
        <w:t xml:space="preserve">“yet you hold fast my name, and you did not deny my faith”</w:t>
      </w:r>
      <w:r>
        <w:t xml:space="preserve">) has misread the pastoral tone of the letter.</w:t>
      </w:r>
    </w:p>
    <w:p>
      <w:pPr>
        <w:pStyle w:val="BodyText"/>
      </w:pPr>
      <w:r>
        <w:rPr>
          <w:b/>
          <w:bCs/>
        </w:rPr>
        <w:t xml:space="preserve">The Nicolaitans</w:t>
      </w:r>
    </w:p>
    <w:p>
      <w:pPr>
        <w:pStyle w:val="BodyText"/>
      </w:pPr>
      <w:r>
        <w:t xml:space="preserve">The identity of the Nicolaitans (mentioned in both Ephesus, v. 6, and Pergamum, v. 15) is disputed. The text identifies their</w:t>
      </w:r>
      <w:r>
        <w:t xml:space="preserve"> </w:t>
      </w:r>
      <w:r>
        <w:t xml:space="preserve">“works”</w:t>
      </w:r>
      <w:r>
        <w:t xml:space="preserve"> </w:t>
      </w:r>
      <w:r>
        <w:t xml:space="preserve">and</w:t>
      </w:r>
      <w:r>
        <w:t xml:space="preserve"> </w:t>
      </w:r>
      <w:r>
        <w:t xml:space="preserve">“teaching”</w:t>
      </w:r>
      <w:r>
        <w:t xml:space="preserve"> </w:t>
      </w:r>
      <w:r>
        <w:t xml:space="preserve">as things Christ hates, apparently connected to eating food sacrificed to idols and sexual immorality — suggesting a form of libertinism that accommodated pagan social practices. The Reformed reading does not require solving the historical identity question; what matters exegetically is that the Nicolaitan teaching represents a pattern of compromise that normalizes cultural accommodation of idolatry under the guise of Christian freedom. This is load-bearing for application.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1:12–20</w:t>
      </w:r>
      <w:r>
        <w:t xml:space="preserve"> </w:t>
      </w:r>
      <w:r>
        <w:t xml:space="preserve">— Christ’s self-presentation among the lampstands establishes the pastoral and judicial authority from which every letter in chapters 2–3 derives; the self-identifications in each letter draw directly from this vision and must be read in its light.</w:t>
      </w:r>
    </w:p>
    <w:p>
      <w:pPr>
        <w:numPr>
          <w:ilvl w:val="0"/>
          <w:numId w:val="1001"/>
        </w:numPr>
      </w:pPr>
      <w:r>
        <w:rPr>
          <w:b/>
          <w:bCs/>
        </w:rPr>
        <w:t xml:space="preserve">Jeremiah 17:10</w:t>
      </w:r>
      <w:r>
        <w:t xml:space="preserve"> </w:t>
      </w:r>
      <w:r>
        <w:t xml:space="preserve">—</w:t>
      </w:r>
      <w:r>
        <w:t xml:space="preserve"> </w:t>
      </w:r>
      <w:r>
        <w:t xml:space="preserve">“I the LORD search the heart and test the mind”</w:t>
      </w:r>
      <w:r>
        <w:t xml:space="preserve"> </w:t>
      </w:r>
      <w:r>
        <w:t xml:space="preserve">— the prophetic background for Christ’s claim to know each church’s works; the letters stand in the tradition of the divine audit of Israel, now applied to the new covenant assembly.</w:t>
      </w:r>
    </w:p>
    <w:p>
      <w:pPr>
        <w:numPr>
          <w:ilvl w:val="0"/>
          <w:numId w:val="1001"/>
        </w:numPr>
      </w:pPr>
      <w:r>
        <w:rPr>
          <w:b/>
          <w:bCs/>
        </w:rPr>
        <w:t xml:space="preserve">1 Kings 19:1–18 (Elijah at Horeb)</w:t>
      </w:r>
      <w:r>
        <w:t xml:space="preserve"> </w:t>
      </w:r>
      <w:r>
        <w:t xml:space="preserve">— provides OT background for Smyrna’s condition: the faithful remnant suffering under hostile power, to whom God comes with specific, personal assurance; the promise</w:t>
      </w:r>
      <w:r>
        <w:t xml:space="preserve"> </w:t>
      </w:r>
      <w:r>
        <w:t xml:space="preserve">“you will not be hurt by the second death”</w:t>
      </w:r>
      <w:r>
        <w:t xml:space="preserve"> </w:t>
      </w:r>
      <w:r>
        <w:t xml:space="preserve">(v. 11) echoes the divine assurance to the persecuted servant.</w:t>
      </w:r>
    </w:p>
    <w:p>
      <w:pPr>
        <w:numPr>
          <w:ilvl w:val="0"/>
          <w:numId w:val="1001"/>
        </w:numPr>
      </w:pPr>
      <w:r>
        <w:rPr>
          <w:b/>
          <w:bCs/>
        </w:rPr>
        <w:t xml:space="preserve">1 Kings 16:31–33; 21:25 (Jezebel and Ahab)</w:t>
      </w:r>
      <w:r>
        <w:t xml:space="preserve"> </w:t>
      </w:r>
      <w:r>
        <w:t xml:space="preserve">— the OT type Christ invokes in Thyatira; Jezebel’s seduction of Israel into Baal worship as the pattern for false prophetic teaching that leads the people of God into idolatrous accommodation — establishing that the Thyatira problem is not novel but covenantal apostasy in a new form.</w:t>
      </w:r>
    </w:p>
    <w:p>
      <w:pPr>
        <w:numPr>
          <w:ilvl w:val="0"/>
          <w:numId w:val="1001"/>
        </w:numPr>
      </w:pPr>
      <w:r>
        <w:rPr>
          <w:b/>
          <w:bCs/>
        </w:rPr>
        <w:t xml:space="preserve">Matthew 23:37–39 / Luke 13:34–35</w:t>
      </w:r>
      <w:r>
        <w:t xml:space="preserve"> </w:t>
      </w:r>
      <w:r>
        <w:t xml:space="preserve">— Christ’s lament over Jerusalem,</w:t>
      </w:r>
      <w:r>
        <w:t xml:space="preserve"> </w:t>
      </w:r>
      <w:r>
        <w:t xml:space="preserve">“How often I would have gathered your children… and you were not willing”</w:t>
      </w:r>
      <w:r>
        <w:t xml:space="preserve"> </w:t>
      </w:r>
      <w:r>
        <w:t xml:space="preserve">— canonical grounding for the grief behind Christ’s rebukes; the letters are not merely judicial but pastoral, reflecting the same longing-but-righteous confrontation.</w:t>
      </w:r>
    </w:p>
    <w:p>
      <w:pPr>
        <w:numPr>
          <w:ilvl w:val="0"/>
          <w:numId w:val="1001"/>
        </w:numPr>
      </w:pPr>
      <w:r>
        <w:rPr>
          <w:b/>
          <w:bCs/>
        </w:rPr>
        <w:t xml:space="preserve">2 Corinthians 11:2–4</w:t>
      </w:r>
      <w:r>
        <w:t xml:space="preserve"> </w:t>
      </w:r>
      <w:r>
        <w:t xml:space="preserve">— Paul’s fear that the Corinthians would be led away from sincere and pure devotion to Christ by a</w:t>
      </w:r>
      <w:r>
        <w:t xml:space="preserve"> </w:t>
      </w:r>
      <w:r>
        <w:t xml:space="preserve">“different Jesus”</w:t>
      </w:r>
      <w:r>
        <w:t xml:space="preserve"> </w:t>
      </w:r>
      <w:r>
        <w:t xml:space="preserve">and</w:t>
      </w:r>
      <w:r>
        <w:t xml:space="preserve"> </w:t>
      </w:r>
      <w:r>
        <w:t xml:space="preserve">“different gospel”</w:t>
      </w:r>
      <w:r>
        <w:t xml:space="preserve"> </w:t>
      </w:r>
      <w:r>
        <w:t xml:space="preserve">— canonical parallel to Ephesus’s doctrinal vigilance alongside the warning that doctrinal precision without love is already a departure.</w:t>
      </w:r>
    </w:p>
    <w:p>
      <w:r>
        <w:pict>
          <v:rect style="width:0;height:1.5pt" o:hralign="center" o:hrstd="t" o:hr="t"/>
        </w:pict>
      </w:r>
    </w:p>
    <w:p>
      <w:pPr>
        <w:pStyle w:val="FirstParagraph"/>
      </w:pPr>
      <w:r>
        <w:rPr>
          <w:b/>
          <w:bCs/>
        </w:rPr>
        <w:t xml:space="preserve">Aim:</w:t>
      </w:r>
      <w:r>
        <w:t xml:space="preserve"> </w:t>
      </w:r>
      <w:r>
        <w:t xml:space="preserve">To bring the reader under the searching gaze of the risen Christ — hearing His commendation where it applies, feeling the weight of His rebuke where it applies, and responding to His call to hear, repent, and overcome.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Christ identifies Himself to Ephesus: holds the seven stars, walks among the lampstands</w:t>
            </w:r>
          </w:p>
        </w:tc>
        <w:tc>
          <w:tcPr/>
          <w:p>
            <w:pPr>
              <w:pStyle w:val="Compact"/>
            </w:pPr>
            <w:r>
              <w:t xml:space="preserve">Draws from 1:13, 16, 20 — emphasizes active, present pastoral oversight</w:t>
            </w:r>
          </w:p>
        </w:tc>
      </w:tr>
      <w:tr>
        <w:tc>
          <w:tcPr/>
          <w:p>
            <w:pPr>
              <w:pStyle w:val="Compact"/>
            </w:pPr>
            <w:r>
              <w:t xml:space="preserve">2:2–3</w:t>
            </w:r>
          </w:p>
        </w:tc>
        <w:tc>
          <w:tcPr/>
          <w:p>
            <w:pPr>
              <w:pStyle w:val="Compact"/>
            </w:pPr>
            <w:r>
              <w:t xml:space="preserve">Commendation of Ephesus: toil, patient endurance, doctrinal discernment, testing false apostles, hatred of Nicolaitan works</w:t>
            </w:r>
          </w:p>
        </w:tc>
        <w:tc>
          <w:tcPr/>
          <w:p>
            <w:pPr>
              <w:pStyle w:val="Compact"/>
            </w:pPr>
            <w:r>
              <w:t xml:space="preserve">Strong commendation — doctrinal faithfulness is real and noticed</w:t>
            </w:r>
          </w:p>
        </w:tc>
      </w:tr>
      <w:tr>
        <w:tc>
          <w:tcPr/>
          <w:p>
            <w:pPr>
              <w:pStyle w:val="Compact"/>
            </w:pPr>
            <w:r>
              <w:t xml:space="preserve">2:4</w:t>
            </w:r>
          </w:p>
        </w:tc>
        <w:tc>
          <w:tcPr/>
          <w:p>
            <w:pPr>
              <w:pStyle w:val="Compact"/>
            </w:pPr>
            <w:r>
              <w:t xml:space="preserve">Rebuke:</w:t>
            </w:r>
            <w:r>
              <w:t xml:space="preserve"> </w:t>
            </w:r>
            <w:r>
              <w:t xml:space="preserve">“you have abandoned the love you had at first”</w:t>
            </w:r>
          </w:p>
        </w:tc>
        <w:tc>
          <w:tcPr/>
          <w:p>
            <w:pPr>
              <w:pStyle w:val="Compact"/>
            </w:pPr>
            <w:r>
              <w:t xml:space="preserve">Greek</w:t>
            </w:r>
            <w:r>
              <w:t xml:space="preserve"> </w:t>
            </w:r>
            <w:r>
              <w:rPr>
                <w:i/>
                <w:iCs/>
              </w:rPr>
              <w:t xml:space="preserve">aphēkas</w:t>
            </w:r>
            <w:r>
              <w:t xml:space="preserve"> </w:t>
            </w:r>
            <w:r>
              <w:t xml:space="preserve">—</w:t>
            </w:r>
            <w:r>
              <w:t xml:space="preserve"> </w:t>
            </w:r>
            <w:r>
              <w:t xml:space="preserve">“you have let go,”</w:t>
            </w:r>
            <w:r>
              <w:t xml:space="preserve"> </w:t>
            </w:r>
            <w:r>
              <w:t xml:space="preserve">an active departure, not gradual erosion</w:t>
            </w:r>
          </w:p>
        </w:tc>
      </w:tr>
      <w:tr>
        <w:tc>
          <w:tcPr/>
          <w:p>
            <w:pPr>
              <w:pStyle w:val="Compact"/>
            </w:pPr>
            <w:r>
              <w:t xml:space="preserve">2:5</w:t>
            </w:r>
          </w:p>
        </w:tc>
        <w:tc>
          <w:tcPr/>
          <w:p>
            <w:pPr>
              <w:pStyle w:val="Compact"/>
            </w:pPr>
            <w:r>
              <w:t xml:space="preserve">Call to Ephesus: remember, repent, do the first works — or the lampstand is removed</w:t>
            </w:r>
          </w:p>
        </w:tc>
        <w:tc>
          <w:tcPr/>
          <w:p>
            <w:pPr>
              <w:pStyle w:val="Compact"/>
            </w:pPr>
            <w:r>
              <w:t xml:space="preserve">The threat is real: loss of the church’s existence as a testimony</w:t>
            </w:r>
          </w:p>
        </w:tc>
      </w:tr>
      <w:tr>
        <w:tc>
          <w:tcPr/>
          <w:p>
            <w:pPr>
              <w:pStyle w:val="Compact"/>
            </w:pPr>
            <w:r>
              <w:t xml:space="preserve">2:6</w:t>
            </w:r>
          </w:p>
        </w:tc>
        <w:tc>
          <w:tcPr/>
          <w:p>
            <w:pPr>
              <w:pStyle w:val="Compact"/>
            </w:pPr>
            <w:r>
              <w:t xml:space="preserve">Parenthetical commendation: hatred of Nicolaitan works</w:t>
            </w:r>
          </w:p>
        </w:tc>
        <w:tc>
          <w:tcPr/>
          <w:p>
            <w:pPr>
              <w:pStyle w:val="Compact"/>
            </w:pPr>
            <w:r>
              <w:t xml:space="preserve">Structural note: the letter closes the rebuke by returning to commendation</w:t>
            </w:r>
          </w:p>
        </w:tc>
      </w:tr>
      <w:tr>
        <w:tc>
          <w:tcPr/>
          <w:p>
            <w:pPr>
              <w:pStyle w:val="Compact"/>
            </w:pPr>
            <w:r>
              <w:t xml:space="preserve">2:7</w:t>
            </w:r>
          </w:p>
        </w:tc>
        <w:tc>
          <w:tcPr/>
          <w:p>
            <w:pPr>
              <w:pStyle w:val="Compact"/>
            </w:pPr>
            <w:r>
              <w:t xml:space="preserve">Promise to the overcomer: eat from the tree of life in the paradise of God</w:t>
            </w:r>
          </w:p>
        </w:tc>
        <w:tc>
          <w:tcPr/>
          <w:p>
            <w:pPr>
              <w:pStyle w:val="Compact"/>
            </w:pPr>
            <w:r>
              <w:t xml:space="preserve">Eschatological reversal of Genesis 3 — the exiled are restored</w:t>
            </w:r>
          </w:p>
        </w:tc>
      </w:tr>
      <w:tr>
        <w:tc>
          <w:tcPr/>
          <w:p>
            <w:pPr>
              <w:pStyle w:val="Compact"/>
            </w:pPr>
            <w:r>
              <w:t xml:space="preserve">2:8</w:t>
            </w:r>
          </w:p>
        </w:tc>
        <w:tc>
          <w:tcPr/>
          <w:p>
            <w:pPr>
              <w:pStyle w:val="Compact"/>
            </w:pPr>
            <w:r>
              <w:t xml:space="preserve">Christ identifies Himself to Smyrna: the first and the last, who died and came to life</w:t>
            </w:r>
          </w:p>
        </w:tc>
        <w:tc>
          <w:tcPr/>
          <w:p>
            <w:pPr>
              <w:pStyle w:val="Compact"/>
            </w:pPr>
            <w:r>
              <w:t xml:space="preserve">Directly counters death with resurrection authority</w:t>
            </w:r>
          </w:p>
        </w:tc>
      </w:tr>
      <w:tr>
        <w:tc>
          <w:tcPr/>
          <w:p>
            <w:pPr>
              <w:pStyle w:val="Compact"/>
            </w:pPr>
            <w:r>
              <w:t xml:space="preserve">2:9</w:t>
            </w:r>
          </w:p>
        </w:tc>
        <w:tc>
          <w:tcPr/>
          <w:p>
            <w:pPr>
              <w:pStyle w:val="Compact"/>
            </w:pPr>
            <w:r>
              <w:t xml:space="preserve">Knowledge of Smyrna’s tribulation, poverty, and slander from the</w:t>
            </w:r>
            <w:r>
              <w:t xml:space="preserve"> </w:t>
            </w:r>
            <w:r>
              <w:t xml:space="preserve">“synagogue of Satan”</w:t>
            </w:r>
          </w:p>
        </w:tc>
        <w:tc>
          <w:tcPr/>
          <w:p>
            <w:pPr>
              <w:pStyle w:val="Compact"/>
            </w:pPr>
            <w:r>
              <w:t xml:space="preserve">The poverty is material; the</w:t>
            </w:r>
            <w:r>
              <w:t xml:space="preserve"> </w:t>
            </w:r>
            <w:r>
              <w:t xml:space="preserve">“synagogue of Satan”</w:t>
            </w:r>
            <w:r>
              <w:t xml:space="preserve"> </w:t>
            </w:r>
            <w:r>
              <w:t xml:space="preserve">designation indicates those claiming Jewish identity while opposing the gospel</w:t>
            </w:r>
          </w:p>
        </w:tc>
      </w:tr>
      <w:tr>
        <w:tc>
          <w:tcPr/>
          <w:p>
            <w:pPr>
              <w:pStyle w:val="Compact"/>
            </w:pPr>
            <w:r>
              <w:t xml:space="preserve">2:10</w:t>
            </w:r>
          </w:p>
        </w:tc>
        <w:tc>
          <w:tcPr/>
          <w:p>
            <w:pPr>
              <w:pStyle w:val="Compact"/>
            </w:pPr>
            <w:r>
              <w:t xml:space="preserve">Command: do not fear; suffering ahead is bounded (</w:t>
            </w:r>
            <w:r>
              <w:t xml:space="preserve">“ten days”</w:t>
            </w:r>
            <w:r>
              <w:t xml:space="preserve">); be faithful unto death</w:t>
            </w:r>
          </w:p>
        </w:tc>
        <w:tc>
          <w:tcPr/>
          <w:p>
            <w:pPr>
              <w:pStyle w:val="Compact"/>
            </w:pPr>
            <w:r>
              <w:t xml:space="preserve">“Ten days”</w:t>
            </w:r>
            <w:r>
              <w:t xml:space="preserve"> </w:t>
            </w:r>
            <w:r>
              <w:t xml:space="preserve">= a limited, definite period under God’s sovereign control; death is not the end</w:t>
            </w:r>
          </w:p>
        </w:tc>
      </w:tr>
      <w:tr>
        <w:tc>
          <w:tcPr/>
          <w:p>
            <w:pPr>
              <w:pStyle w:val="Compact"/>
            </w:pPr>
            <w:r>
              <w:t xml:space="preserve">2:11</w:t>
            </w:r>
          </w:p>
        </w:tc>
        <w:tc>
          <w:tcPr/>
          <w:p>
            <w:pPr>
              <w:pStyle w:val="Compact"/>
            </w:pPr>
            <w:r>
              <w:t xml:space="preserve">Promise to the overcomer: not hurt by the second death</w:t>
            </w:r>
          </w:p>
        </w:tc>
        <w:tc>
          <w:tcPr/>
          <w:p>
            <w:pPr>
              <w:pStyle w:val="Compact"/>
            </w:pPr>
            <w:r>
              <w:t xml:space="preserve">Final death has no power over those who die faithful</w:t>
            </w:r>
          </w:p>
        </w:tc>
      </w:tr>
      <w:tr>
        <w:tc>
          <w:tcPr/>
          <w:p>
            <w:pPr>
              <w:pStyle w:val="Compact"/>
            </w:pPr>
            <w:r>
              <w:t xml:space="preserve">2:12</w:t>
            </w:r>
          </w:p>
        </w:tc>
        <w:tc>
          <w:tcPr/>
          <w:p>
            <w:pPr>
              <w:pStyle w:val="Compact"/>
            </w:pPr>
            <w:r>
              <w:t xml:space="preserve">Christ identifies Himself to Pergamum: holds the sharp two-edged sword</w:t>
            </w:r>
          </w:p>
        </w:tc>
        <w:tc>
          <w:tcPr/>
          <w:p>
            <w:pPr>
              <w:pStyle w:val="Compact"/>
            </w:pPr>
            <w:r>
              <w:t xml:space="preserve">The sword of judgment — relevant to both the city’s Roman power and Christ’s superior authority</w:t>
            </w:r>
          </w:p>
        </w:tc>
      </w:tr>
      <w:tr>
        <w:tc>
          <w:tcPr/>
          <w:p>
            <w:pPr>
              <w:pStyle w:val="Compact"/>
            </w:pPr>
            <w:r>
              <w:t xml:space="preserve">2:13</w:t>
            </w:r>
          </w:p>
        </w:tc>
        <w:tc>
          <w:tcPr/>
          <w:p>
            <w:pPr>
              <w:pStyle w:val="Compact"/>
            </w:pPr>
            <w:r>
              <w:t xml:space="preserve">Commendation: holding fast to Christ’s name, not denying faith even where Satan dwells, even in Antipas’s martyrdom</w:t>
            </w:r>
          </w:p>
        </w:tc>
        <w:tc>
          <w:tcPr/>
          <w:p>
            <w:pPr>
              <w:pStyle w:val="Compact"/>
            </w:pPr>
            <w:r>
              <w:t xml:space="preserve">Context of extreme hostility is explicitly acknowledged before the rebuke</w:t>
            </w:r>
          </w:p>
        </w:tc>
      </w:tr>
      <w:tr>
        <w:tc>
          <w:tcPr/>
          <w:p>
            <w:pPr>
              <w:pStyle w:val="Compact"/>
            </w:pPr>
            <w:r>
              <w:t xml:space="preserve">2:14–15</w:t>
            </w:r>
          </w:p>
        </w:tc>
        <w:tc>
          <w:tcPr/>
          <w:p>
            <w:pPr>
              <w:pStyle w:val="Compact"/>
            </w:pPr>
            <w:r>
              <w:t xml:space="preserve">Rebuke: some hold the teaching of Balaam (food sacrificed to idols, sexual immorality) and the Nicolaitans</w:t>
            </w:r>
          </w:p>
        </w:tc>
        <w:tc>
          <w:tcPr/>
          <w:p>
            <w:pPr>
              <w:pStyle w:val="Compact"/>
            </w:pPr>
            <w:r>
              <w:t xml:space="preserve">Balaam as OT type: using accommodation to bring Israel into compromise from within</w:t>
            </w:r>
          </w:p>
        </w:tc>
      </w:tr>
      <w:tr>
        <w:tc>
          <w:tcPr/>
          <w:p>
            <w:pPr>
              <w:pStyle w:val="Compact"/>
            </w:pPr>
            <w:r>
              <w:t xml:space="preserve">2:16</w:t>
            </w:r>
          </w:p>
        </w:tc>
        <w:tc>
          <w:tcPr/>
          <w:p>
            <w:pPr>
              <w:pStyle w:val="Compact"/>
            </w:pPr>
            <w:r>
              <w:t xml:space="preserve">Call to Pergamum: repent, or Christ will come and war against them with His sword</w:t>
            </w:r>
          </w:p>
        </w:tc>
        <w:tc>
          <w:tcPr/>
          <w:p>
            <w:pPr>
              <w:pStyle w:val="Compact"/>
            </w:pPr>
            <w:r>
              <w:t xml:space="preserve">The sword that protects the faithful will judge the tolerators of compromise</w:t>
            </w:r>
          </w:p>
        </w:tc>
      </w:tr>
      <w:tr>
        <w:tc>
          <w:tcPr/>
          <w:p>
            <w:pPr>
              <w:pStyle w:val="Compact"/>
            </w:pPr>
            <w:r>
              <w:t xml:space="preserve">2:17</w:t>
            </w:r>
          </w:p>
        </w:tc>
        <w:tc>
          <w:tcPr/>
          <w:p>
            <w:pPr>
              <w:pStyle w:val="Compact"/>
            </w:pPr>
            <w:r>
              <w:t xml:space="preserve">Promise to the overcomer: hidden manna, white stone, new name</w:t>
            </w:r>
          </w:p>
        </w:tc>
        <w:tc>
          <w:tcPr/>
          <w:p>
            <w:pPr>
              <w:pStyle w:val="Compact"/>
            </w:pPr>
            <w:r>
              <w:t xml:space="preserve">Hidden manna = true sustenance vs. the idol-feast food; white stone = acquittal/welcome; new name = new identity</w:t>
            </w:r>
          </w:p>
        </w:tc>
      </w:tr>
      <w:tr>
        <w:tc>
          <w:tcPr/>
          <w:p>
            <w:pPr>
              <w:pStyle w:val="Compact"/>
            </w:pPr>
            <w:r>
              <w:t xml:space="preserve">2:18</w:t>
            </w:r>
          </w:p>
        </w:tc>
        <w:tc>
          <w:tcPr/>
          <w:p>
            <w:pPr>
              <w:pStyle w:val="Compact"/>
            </w:pPr>
            <w:r>
              <w:t xml:space="preserve">Christ identifies Himself to Thyatira: Son of God, eyes like flame of fire, feet like burnished bronze</w:t>
            </w:r>
          </w:p>
        </w:tc>
        <w:tc>
          <w:tcPr/>
          <w:p>
            <w:pPr>
              <w:pStyle w:val="Compact"/>
            </w:pPr>
            <w:r>
              <w:t xml:space="preserve">Son of God is significant — only here in Revelation; the divine-judicial attributes echo Daniel 10</w:t>
            </w:r>
          </w:p>
        </w:tc>
      </w:tr>
      <w:tr>
        <w:tc>
          <w:tcPr/>
          <w:p>
            <w:pPr>
              <w:pStyle w:val="Compact"/>
            </w:pPr>
            <w:r>
              <w:t xml:space="preserve">2:19</w:t>
            </w:r>
          </w:p>
        </w:tc>
        <w:tc>
          <w:tcPr/>
          <w:p>
            <w:pPr>
              <w:pStyle w:val="Compact"/>
            </w:pPr>
            <w:r>
              <w:t xml:space="preserve">Commendation: love, faith, service, patient endurance — and the latter works exceed the first</w:t>
            </w:r>
          </w:p>
        </w:tc>
        <w:tc>
          <w:tcPr/>
          <w:p>
            <w:pPr>
              <w:pStyle w:val="Compact"/>
            </w:pPr>
            <w:r>
              <w:t xml:space="preserve">Thyatira’s growth is real and notable — the opposite pattern from Ephesus</w:t>
            </w:r>
          </w:p>
        </w:tc>
      </w:tr>
      <w:tr>
        <w:tc>
          <w:tcPr/>
          <w:p>
            <w:pPr>
              <w:pStyle w:val="Compact"/>
            </w:pPr>
            <w:r>
              <w:t xml:space="preserve">2:20</w:t>
            </w:r>
          </w:p>
        </w:tc>
        <w:tc>
          <w:tcPr/>
          <w:p>
            <w:pPr>
              <w:pStyle w:val="Compact"/>
            </w:pPr>
            <w:r>
              <w:t xml:space="preserve">Rebuke: tolerating Jezebel, who teaches and seduces servants into idolatry and sexual immorality</w:t>
            </w:r>
          </w:p>
        </w:tc>
        <w:tc>
          <w:tcPr/>
          <w:p>
            <w:pPr>
              <w:pStyle w:val="Compact"/>
            </w:pPr>
            <w:r>
              <w:t xml:space="preserve">The sin is not Jezebel’s teaching alone but the church’s</w:t>
            </w:r>
            <w:r>
              <w:t xml:space="preserve"> </w:t>
            </w:r>
            <w:r>
              <w:rPr>
                <w:i/>
                <w:iCs/>
              </w:rPr>
              <w:t xml:space="preserve">toleration</w:t>
            </w:r>
            <w:r>
              <w:t xml:space="preserve"> </w:t>
            </w:r>
            <w:r>
              <w:t xml:space="preserve">of it</w:t>
            </w:r>
          </w:p>
        </w:tc>
      </w:tr>
      <w:tr>
        <w:tc>
          <w:tcPr/>
          <w:p>
            <w:pPr>
              <w:pStyle w:val="Compact"/>
            </w:pPr>
            <w:r>
              <w:t xml:space="preserve">2:21–23</w:t>
            </w:r>
          </w:p>
        </w:tc>
        <w:tc>
          <w:tcPr/>
          <w:p>
            <w:pPr>
              <w:pStyle w:val="Compact"/>
            </w:pPr>
            <w:r>
              <w:t xml:space="preserve">Christ’s patience, her refusal to repent, and coming judgment on her and those who commit adultery with her</w:t>
            </w:r>
          </w:p>
        </w:tc>
        <w:tc>
          <w:tcPr/>
          <w:p>
            <w:pPr>
              <w:pStyle w:val="Compact"/>
            </w:pPr>
            <w:r>
              <w:t xml:space="preserve">The judgment is specific, personal, and coming;</w:t>
            </w:r>
            <w:r>
              <w:t xml:space="preserve"> </w:t>
            </w:r>
            <w:r>
              <w:t xml:space="preserve">“all the churches will know”</w:t>
            </w:r>
            <w:r>
              <w:t xml:space="preserve"> </w:t>
            </w:r>
            <w:r>
              <w:t xml:space="preserve">— the public and exemplary nature of Christ’s discipline</w:t>
            </w:r>
          </w:p>
        </w:tc>
      </w:tr>
      <w:tr>
        <w:tc>
          <w:tcPr/>
          <w:p>
            <w:pPr>
              <w:pStyle w:val="Compact"/>
            </w:pPr>
            <w:r>
              <w:t xml:space="preserve">2:24–25</w:t>
            </w:r>
          </w:p>
        </w:tc>
        <w:tc>
          <w:tcPr/>
          <w:p>
            <w:pPr>
              <w:pStyle w:val="Compact"/>
            </w:pPr>
            <w:r>
              <w:t xml:space="preserve">Words to the faithful in Thyatira: no further burden — hold fast what you have until He comes</w:t>
            </w:r>
          </w:p>
        </w:tc>
        <w:tc>
          <w:tcPr/>
          <w:p>
            <w:pPr>
              <w:pStyle w:val="Compact"/>
            </w:pPr>
            <w:r>
              <w:t xml:space="preserve">The innocent are not punished for the tolerated sin; they are called to hold, not be held responsible</w:t>
            </w:r>
          </w:p>
        </w:tc>
      </w:tr>
      <w:tr>
        <w:tc>
          <w:tcPr/>
          <w:p>
            <w:pPr>
              <w:pStyle w:val="Compact"/>
            </w:pPr>
            <w:r>
              <w:t xml:space="preserve">2:26–28</w:t>
            </w:r>
          </w:p>
        </w:tc>
        <w:tc>
          <w:tcPr/>
          <w:p>
            <w:pPr>
              <w:pStyle w:val="Compact"/>
            </w:pPr>
            <w:r>
              <w:t xml:space="preserve">Promise to the overcomer who keeps Christ’s works to the end: authority over nations, the morning star</w:t>
            </w:r>
          </w:p>
        </w:tc>
        <w:tc>
          <w:tcPr/>
          <w:p>
            <w:pPr>
              <w:pStyle w:val="Compact"/>
            </w:pPr>
            <w:r>
              <w:t xml:space="preserve">Ruling with Christ in His kingdom; the morning star = anticipation and participation in Christ’s own victory (cf. 22:16)</w:t>
            </w:r>
          </w:p>
        </w:tc>
      </w:tr>
      <w:tr>
        <w:tc>
          <w:tcPr/>
          <w:p>
            <w:pPr>
              <w:pStyle w:val="Compact"/>
            </w:pPr>
            <w:r>
              <w:t xml:space="preserve">2:29</w:t>
            </w:r>
          </w:p>
        </w:tc>
        <w:tc>
          <w:tcPr/>
          <w:p>
            <w:pPr>
              <w:pStyle w:val="Compact"/>
            </w:pPr>
            <w:r>
              <w:t xml:space="preserve">Standard closing:</w:t>
            </w:r>
            <w:r>
              <w:t xml:space="preserve"> </w:t>
            </w:r>
            <w:r>
              <w:t xml:space="preserve">“He who has an ear, let him hear what the Spirit says to the churches”</w:t>
            </w:r>
          </w:p>
        </w:tc>
        <w:tc>
          <w:tcPr/>
          <w:p>
            <w:pPr>
              <w:pStyle w:val="Compact"/>
            </w:pPr>
            <w:r>
              <w:t xml:space="preserve">Placed</w:t>
            </w:r>
            <w:r>
              <w:t xml:space="preserve"> </w:t>
            </w:r>
            <w:r>
              <w:rPr>
                <w:i/>
                <w:iCs/>
              </w:rPr>
              <w:t xml:space="preserve">after</w:t>
            </w:r>
            <w:r>
              <w:t xml:space="preserve"> </w:t>
            </w:r>
            <w:r>
              <w:t xml:space="preserve">the promise in Thyatira onward — structural shift from chapters 2:1–3:6 where it preceded the promise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2:1–7</w:t>
            </w:r>
          </w:p>
        </w:tc>
        <w:tc>
          <w:tcPr/>
          <w:p>
            <w:pPr>
              <w:pStyle w:val="Compact"/>
            </w:pPr>
            <w:r>
              <w:t xml:space="preserve">The Letter to Ephesus: Doctrinal Precision Without Love</w:t>
            </w:r>
          </w:p>
        </w:tc>
      </w:tr>
      <w:tr>
        <w:tc>
          <w:tcPr/>
          <w:p>
            <w:pPr>
              <w:pStyle w:val="Compact"/>
            </w:pPr>
            <w:r>
              <w:t xml:space="preserve">2</w:t>
            </w:r>
          </w:p>
        </w:tc>
        <w:tc>
          <w:tcPr/>
          <w:p>
            <w:pPr>
              <w:pStyle w:val="Compact"/>
            </w:pPr>
            <w:r>
              <w:t xml:space="preserve">2:8–11</w:t>
            </w:r>
          </w:p>
        </w:tc>
        <w:tc>
          <w:tcPr/>
          <w:p>
            <w:pPr>
              <w:pStyle w:val="Compact"/>
            </w:pPr>
            <w:r>
              <w:t xml:space="preserve">The Letter to Smyrna: Faithful Poverty Under Hostile Power</w:t>
            </w:r>
          </w:p>
        </w:tc>
      </w:tr>
      <w:tr>
        <w:tc>
          <w:tcPr/>
          <w:p>
            <w:pPr>
              <w:pStyle w:val="Compact"/>
            </w:pPr>
            <w:r>
              <w:t xml:space="preserve">3</w:t>
            </w:r>
          </w:p>
        </w:tc>
        <w:tc>
          <w:tcPr/>
          <w:p>
            <w:pPr>
              <w:pStyle w:val="Compact"/>
            </w:pPr>
            <w:r>
              <w:t xml:space="preserve">2:12–17</w:t>
            </w:r>
          </w:p>
        </w:tc>
        <w:tc>
          <w:tcPr/>
          <w:p>
            <w:pPr>
              <w:pStyle w:val="Compact"/>
            </w:pPr>
            <w:r>
              <w:t xml:space="preserve">The Letter to Pergamum: Courageous Confession Undermined by Tolerated Compromise</w:t>
            </w:r>
          </w:p>
        </w:tc>
      </w:tr>
      <w:tr>
        <w:tc>
          <w:tcPr/>
          <w:p>
            <w:pPr>
              <w:pStyle w:val="Compact"/>
            </w:pPr>
            <w:r>
              <w:t xml:space="preserve">4</w:t>
            </w:r>
          </w:p>
        </w:tc>
        <w:tc>
          <w:tcPr/>
          <w:p>
            <w:pPr>
              <w:pStyle w:val="Compact"/>
            </w:pPr>
            <w:r>
              <w:t xml:space="preserve">2:18–29</w:t>
            </w:r>
          </w:p>
        </w:tc>
        <w:tc>
          <w:tcPr/>
          <w:p>
            <w:pPr>
              <w:pStyle w:val="Compact"/>
            </w:pPr>
            <w:r>
              <w:t xml:space="preserve">The Letter to Thyatira: Growing Love Undone by Tolerating False Teaching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audits four churches — commending, rebuking, and calling each to faithful endurance.</w:t>
      </w:r>
    </w:p>
    <w:p>
      <w:pPr>
        <w:pStyle w:val="BodyText"/>
      </w:pPr>
      <w:r>
        <w:rPr>
          <w:b/>
          <w:bCs/>
        </w:rPr>
        <w:t xml:space="preserve">Primary Claim:</w:t>
      </w:r>
      <w:r>
        <w:t xml:space="preserve"> </w:t>
      </w:r>
      <w:r>
        <w:t xml:space="preserve">Christ’s intimate, authoritative knowledge of His churches means that no spiritual drift, no persecution, and no internal compromise escapes His gaze — and He is calling every church, and every believer within it, to hear, repent, and overcome.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Believe that Christ knows your church’s actual condition, not its reputation.</w:t>
      </w:r>
      <w:r>
        <w:t xml:space="preserve"> </w:t>
      </w:r>
      <w:r>
        <w:t xml:space="preserve">Every letter opens with</w:t>
      </w:r>
      <w:r>
        <w:t xml:space="preserve"> </w:t>
      </w:r>
      <w:r>
        <w:t xml:space="preserve">“I know your works”</w:t>
      </w:r>
      <w:r>
        <w:t xml:space="preserve"> </w:t>
      </w:r>
      <w:r>
        <w:t xml:space="preserve">— not</w:t>
      </w:r>
      <w:r>
        <w:t xml:space="preserve"> </w:t>
      </w:r>
      <w:r>
        <w:t xml:space="preserve">“I have heard about your works”</w:t>
      </w:r>
      <w:r>
        <w:t xml:space="preserve"> </w:t>
      </w:r>
      <w:r>
        <w:t xml:space="preserve">or</w:t>
      </w:r>
      <w:r>
        <w:t xml:space="preserve"> </w:t>
      </w:r>
      <w:r>
        <w:t xml:space="preserve">“I see your attendance figures.”</w:t>
      </w:r>
      <w:r>
        <w:t xml:space="preserve"> </w:t>
      </w:r>
      <w:r>
        <w:t xml:space="preserve">Christ’s knowledge of the churches in Revelation 2 is immediate, interior, and diagnostic. He knows Ephesus’s doctrinal precision</w:t>
      </w:r>
      <w:r>
        <w:t xml:space="preserve"> </w:t>
      </w:r>
      <w:r>
        <w:rPr>
          <w:i/>
          <w:iCs/>
        </w:rPr>
        <w:t xml:space="preserve">and</w:t>
      </w:r>
      <w:r>
        <w:t xml:space="preserve"> </w:t>
      </w:r>
      <w:r>
        <w:t xml:space="preserve">its lovelessness. He knows Smyrna’s poverty</w:t>
      </w:r>
      <w:r>
        <w:t xml:space="preserve"> </w:t>
      </w:r>
      <w:r>
        <w:rPr>
          <w:i/>
          <w:iCs/>
        </w:rPr>
        <w:t xml:space="preserve">and</w:t>
      </w:r>
      <w:r>
        <w:t xml:space="preserve"> </w:t>
      </w:r>
      <w:r>
        <w:t xml:space="preserve">its true wealth. He knows Thyatira’s growth</w:t>
      </w:r>
      <w:r>
        <w:t xml:space="preserve"> </w:t>
      </w:r>
      <w:r>
        <w:rPr>
          <w:i/>
          <w:iCs/>
        </w:rPr>
        <w:t xml:space="preserve">and</w:t>
      </w:r>
      <w:r>
        <w:t xml:space="preserve"> </w:t>
      </w:r>
      <w:r>
        <w:t xml:space="preserve">its rot. Every believer and every church leader must reframe their self-assessment in light of this: the relevant question is not what your church’s reputation is among other churches, or even what your own conscience registers, but what the One who walks among the lampstands sees when He looks. This is not a call to morbid introspection but to honest, Christ-facing self-evaluation — the kind that is possible precisely because the one doing the examining is not a distant judge but a present Lord who commends before He rebukes.</w:t>
      </w:r>
    </w:p>
    <w:p>
      <w:pPr>
        <w:pStyle w:val="BodyText"/>
      </w:pPr>
      <w:r>
        <w:rPr>
          <w:b/>
          <w:bCs/>
        </w:rPr>
        <w:t xml:space="preserve">2. [Affections/Worship] — Feel the weight of what Ephesus lost — and ask whether you have lost it too.</w:t>
      </w:r>
      <w:r>
        <w:t xml:space="preserve"> </w:t>
      </w:r>
      <w:r>
        <w:t xml:space="preserve">Christ does not rebuke Ephesus for laziness, doctrinal sloppiness, or moral failure. He rebukes them for leaving their first love. This is a grief category, not a performance category. The first love of a new believer — the wonder, the gratitude, the sense of being found — is not sentimental nostalgia. It is the proper fuel for all doctrinal vigilance, all patient endurance, all ministry labor. When the fuel runs out, the machinery continues for a time on its own momentum, which is precisely what makes Ephesus so dangerous: it still looks like a healthy church. But Christ says: remember from where you have fallen, repent, and do the first works — the works that come from love, not the works that substitute for it. Congregations and individuals should ask not</w:t>
      </w:r>
      <w:r>
        <w:t xml:space="preserve"> </w:t>
      </w:r>
      <w:r>
        <w:t xml:space="preserve">“Am I still doing the works?”</w:t>
      </w:r>
      <w:r>
        <w:t xml:space="preserve"> </w:t>
      </w:r>
      <w:r>
        <w:t xml:space="preserve">but</w:t>
      </w:r>
      <w:r>
        <w:t xml:space="preserve"> </w:t>
      </w:r>
      <w:r>
        <w:t xml:space="preserve">“Am I still doing them</w:t>
      </w:r>
      <w:r>
        <w:t xml:space="preserve"> </w:t>
      </w:r>
      <w:r>
        <w:rPr>
          <w:i/>
          <w:iCs/>
        </w:rPr>
        <w:t xml:space="preserve">from that place</w:t>
      </w:r>
      <w:r>
        <w:t xml:space="preserve">?”</w:t>
      </w:r>
    </w:p>
    <w:p>
      <w:pPr>
        <w:pStyle w:val="BodyText"/>
      </w:pPr>
      <w:r>
        <w:rPr>
          <w:b/>
          <w:bCs/>
        </w:rPr>
        <w:t xml:space="preserve">3. [Mind/Belief] — Know that your suffering, like Smyrna’s, is bounded, named, and overseen by the risen Christ.</w:t>
      </w:r>
      <w:r>
        <w:t xml:space="preserve"> </w:t>
      </w:r>
      <w:r>
        <w:t xml:space="preserve">Christ tells Smyrna:</w:t>
      </w:r>
      <w:r>
        <w:t xml:space="preserve"> </w:t>
      </w:r>
      <w:r>
        <w:t xml:space="preserve">“I know your tribulation and your poverty.”</w:t>
      </w:r>
      <w:r>
        <w:t xml:space="preserve"> </w:t>
      </w:r>
      <w:r>
        <w:t xml:space="preserve">He is not unaware. He does not offer explanation or apology. He offers Himself:</w:t>
      </w:r>
      <w:r>
        <w:t xml:space="preserve"> </w:t>
      </w:r>
      <w:r>
        <w:t xml:space="preserve">“the first and the last, who died and came to life.”</w:t>
      </w:r>
      <w:r>
        <w:t xml:space="preserve"> </w:t>
      </w:r>
      <w:r>
        <w:t xml:space="preserve">The one speaking into Smyrna’s affliction has been through the worst that affliction can do and came out the other side with death defeated. The</w:t>
      </w:r>
      <w:r>
        <w:t xml:space="preserve"> </w:t>
      </w:r>
      <w:r>
        <w:t xml:space="preserve">“ten days”</w:t>
      </w:r>
      <w:r>
        <w:t xml:space="preserve"> </w:t>
      </w:r>
      <w:r>
        <w:t xml:space="preserve">of coming suffering is not a precise calendar promise but a pastoral one — your suffering is not open-ended, not unlimited, not out of control. It has a boundary. It is in My hand. Believers walking through seasons of sustained suffering need to hear not that their suffering will end soon but that it is already held by the One who holds everything — and that the One who holds it knows exactly what it costs.</w:t>
      </w:r>
    </w:p>
    <w:p>
      <w:pPr>
        <w:pStyle w:val="BodyText"/>
      </w:pPr>
      <w:r>
        <w:rPr>
          <w:b/>
          <w:bCs/>
        </w:rPr>
        <w:t xml:space="preserve">4. [Will/Behavior] — Stop tolerating in your community what you would not practice yourself.</w:t>
      </w:r>
      <w:r>
        <w:t xml:space="preserve"> </w:t>
      </w:r>
      <w:r>
        <w:t xml:space="preserve">The sin of Pergamum and Thyatira is not primarily the false teaching itself but the church’s</w:t>
      </w:r>
      <w:r>
        <w:t xml:space="preserve"> </w:t>
      </w:r>
      <w:r>
        <w:rPr>
          <w:i/>
          <w:iCs/>
        </w:rPr>
        <w:t xml:space="preserve">toleration</w:t>
      </w:r>
      <w:r>
        <w:t xml:space="preserve"> </w:t>
      </w:r>
      <w:r>
        <w:t xml:space="preserve">of it. Pergamum tolerated those who held the teaching of Balaam. Thyatira tolerated the woman Jezebel. In both cases, the church had effectively decided that confronting false teaching was more disruptive than allowing it — that peacekeeping was more important than truth-keeping. But Christ calls this what it is: complicity. Tolerating what Christ rebukes is itself rebuked. Every church member and elder faces a concrete version of this decision: the small group that accommodates a member’s ongoing doctrinal drift without ever naming it; the congregation that never disciplines because discipline feels unkind; the elder board that knows about the false teaching and does not act. The call is not to harsh denunciation but to the courageous pastoral love that Thyatira never extended to Jezebel —</w:t>
      </w:r>
      <w:r>
        <w:t xml:space="preserve"> </w:t>
      </w:r>
      <w:r>
        <w:t xml:space="preserve">“I gave her time to repent”</w:t>
      </w:r>
      <w:r>
        <w:t xml:space="preserve"> </w:t>
      </w:r>
      <w:r>
        <w:t xml:space="preserve">(Christ says); the church apparently never even asked her to.</w:t>
      </w:r>
    </w:p>
    <w:p>
      <w:pPr>
        <w:pStyle w:val="BodyText"/>
      </w:pPr>
      <w:r>
        <w:rPr>
          <w:b/>
          <w:bCs/>
        </w:rPr>
        <w:t xml:space="preserve">5. [Affections/Worship] — Let the promises to the overcomer reorient what you are living for.</w:t>
      </w:r>
      <w:r>
        <w:t xml:space="preserve"> </w:t>
      </w:r>
      <w:r>
        <w:t xml:space="preserve">Every letter closes with a promise to</w:t>
      </w:r>
      <w:r>
        <w:t xml:space="preserve"> </w:t>
      </w:r>
      <w:r>
        <w:t xml:space="preserve">“the one who overcomes”</w:t>
      </w:r>
      <w:r>
        <w:t xml:space="preserve"> </w:t>
      </w:r>
      <w:r>
        <w:t xml:space="preserve">— and the promises are staggering in their scope: the tree of life, immunity from the second death, hidden manna, a white stone with a new name, authority over the nations, the morning star. These are not incentive prizes for good performance. They are descriptions of the inheritance that already belongs to those who are in Christ — given in advance to fuel endurance, to make the cost of faithfulness feel proportionate, to make the accommodations of Pergamum and Thyatira look like what they are: trading an eternal inheritance for a comfortable present. The overcomer language is not reserved for the heroically spiritual — John will define</w:t>
      </w:r>
      <w:r>
        <w:t xml:space="preserve"> </w:t>
      </w:r>
      <w:r>
        <w:t xml:space="preserve">“overcoming”</w:t>
      </w:r>
      <w:r>
        <w:t xml:space="preserve"> </w:t>
      </w:r>
      <w:r>
        <w:t xml:space="preserve">in 1 John 5:4–5 as simply</w:t>
      </w:r>
      <w:r>
        <w:t xml:space="preserve"> </w:t>
      </w:r>
      <w:r>
        <w:t xml:space="preserve">“believing that Jesus is the Son of God.”</w:t>
      </w:r>
      <w:r>
        <w:t xml:space="preserve"> </w:t>
      </w:r>
      <w:r>
        <w:t xml:space="preserve">These promises belong to every believer. Let them weigh on you. Let them reorder what feels costly.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2 establishes a doctrine of Christ’s present, active, pastoral lordship over His church that is easily neglected in ecclesiological thinking. The risen and glorified Christ is not a distant sovereign awaiting His return — He walks among the lampstands now. He knows each church’s works, condition, history, and drift with complete precision. He commends, rebukes, warns, and promises from that position of intimate authority. This chapter also teaches that spiritual health and spiritual disease coexist in the same congregation — Ephesus is simultaneously exemplary in doctrine and dangerously deficient in love; Thyatira simultaneously growing in love and rotting from tolerated false teaching. This resists any simplistic binary of</w:t>
      </w:r>
      <w:r>
        <w:t xml:space="preserve"> </w:t>
      </w:r>
      <w:r>
        <w:t xml:space="preserve">“faithful church vs. fallen church”</w:t>
      </w:r>
      <w:r>
        <w:t xml:space="preserve"> </w:t>
      </w:r>
      <w:r>
        <w:t xml:space="preserve">and calls for ongoing, honest, Christ-facing self-assessment. Finally, the chapter teaches that Christ’s patience with His churches is real —</w:t>
      </w:r>
      <w:r>
        <w:t xml:space="preserve"> </w:t>
      </w:r>
      <w:r>
        <w:t xml:space="preserve">“I gave her time to repent”</w:t>
      </w:r>
      <w:r>
        <w:t xml:space="preserve"> </w:t>
      </w:r>
      <w:r>
        <w:t xml:space="preserve">(v. 21) — but not unlimited, and that the removal of a lampstand (v. 5) is a genuine possibility, not an idle threat.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These four letters display the Reformed conviction that the marks of a true church — right preaching of the Word, right administration of the sacraments, and faithful discipline — are not optional features but matters of the church’s survival as a witness. Ephesus’s doctrinal vigilance is honored; its loss of love is rebuked. Pergamum’s and Thyatira’s failure is ultimately a failure of discipline — the willingness to let false teaching and immoral practice remain unchallenged in the body. The Reformed tradition’s insistence on church discipline as a mark of the true church finds its Christological grounding precisely here: the one who disciplines the church is Christ Himself, and the church that will not discipline is a church abdicating its participation in His pastoral work. The letters also reinforce the Reformed understanding of perseverance: the promises are to</w:t>
      </w:r>
      <w:r>
        <w:t xml:space="preserve"> </w:t>
      </w:r>
      <w:r>
        <w:t xml:space="preserve">“the one who overcomes,”</w:t>
      </w:r>
      <w:r>
        <w:t xml:space="preserve"> </w:t>
      </w:r>
      <w:r>
        <w:t xml:space="preserve">and the overcomer is not one who earns the promise but one who, by faith, holds fast — consistent with the Reformed understanding that perseverance is both the believer’s responsibility and God’s guarantee (cf. Philippians 1:6). The suffering of Smyrna, fully known and bounded by Christ, displays the Reformed doctrine of providence: affliction is not evidence of divine absence but of divine governance.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risen Christ is not watching your church from a distance. He is walking among the lampstands right now, and He knows exactly what He sees — the real love, the real drift, the real courage, the real compromise. He is not impressed by reputation or institution. He is calling you — personally, by name — to hear what the Spirit is saying, to repent where repentance is required, and to hold fast where holding fast is the call. The promises waiting for the overcomer are real. Stop trading them for the comfortable accommodations of a church that has made peace with what Christ has not.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letters as a church-health checklist rather than a confrontation from the living Christ.</w:t>
      </w:r>
      <w:r>
        <w:t xml:space="preserve"> </w:t>
      </w:r>
      <w:r>
        <w:t xml:space="preserve">The most common mishandling of Revelation 2–3 is to reduce the letters to a congregational self-assessment tool —</w:t>
      </w:r>
      <w:r>
        <w:t xml:space="preserve"> </w:t>
      </w:r>
      <w:r>
        <w:t xml:space="preserve">“Which church are we most like?”</w:t>
      </w:r>
      <w:r>
        <w:t xml:space="preserve"> </w:t>
      </w:r>
      <w:r>
        <w:t xml:space="preserve">This abstracts the letters from their fundamental claim: Christ is speaking</w:t>
      </w:r>
      <w:r>
        <w:t xml:space="preserve"> </w:t>
      </w:r>
      <w:r>
        <w:rPr>
          <w:i/>
          <w:iCs/>
        </w:rPr>
        <w:t xml:space="preserve">now</w:t>
      </w:r>
      <w:r>
        <w:t xml:space="preserve">, with authority, to</w:t>
      </w:r>
      <w:r>
        <w:t xml:space="preserve"> </w:t>
      </w:r>
      <w:r>
        <w:rPr>
          <w:i/>
          <w:iCs/>
        </w:rPr>
        <w:t xml:space="preserve">this</w:t>
      </w:r>
      <w:r>
        <w:t xml:space="preserve"> </w:t>
      </w:r>
      <w:r>
        <w:t xml:space="preserve">congregation. The preacher who turns these letters into a diagnostic survey has replaced the searching gaze of the living Lord with a management exercise. The letters must be preached as Christ’s direct address, not as a historical mirror.</w:t>
      </w:r>
    </w:p>
    <w:p>
      <w:pPr>
        <w:numPr>
          <w:ilvl w:val="0"/>
          <w:numId w:val="1002"/>
        </w:numPr>
      </w:pPr>
      <w:r>
        <w:rPr>
          <w:b/>
          <w:bCs/>
        </w:rPr>
        <w:t xml:space="preserve">Preaching Ephesus as a model of doctrinal faithfulness without equally preaching its rebuke.</w:t>
      </w:r>
      <w:r>
        <w:t xml:space="preserve"> </w:t>
      </w:r>
      <w:r>
        <w:t xml:space="preserve">Ephesus receives the most extensive commendation in the chapter. It is tempting — especially in Reformed contexts that prize doctrinal precision — to hold up Ephesus as the exemplary church and pass quickly over the</w:t>
      </w:r>
      <w:r>
        <w:t xml:space="preserve"> </w:t>
      </w:r>
      <w:r>
        <w:t xml:space="preserve">“but I have this against you”</w:t>
      </w:r>
      <w:r>
        <w:t xml:space="preserve"> </w:t>
      </w:r>
      <w:r>
        <w:t xml:space="preserve">(v. 4). The rebuke is not a minor qualification; it is the reason the letter was written. A church can be doctrinally impeccable and be in danger of losing its lampstand. The preacher must not let the commendation swallow the rebuke.</w:t>
      </w:r>
    </w:p>
    <w:p>
      <w:pPr>
        <w:numPr>
          <w:ilvl w:val="0"/>
          <w:numId w:val="1002"/>
        </w:numPr>
      </w:pPr>
      <w:r>
        <w:rPr>
          <w:b/>
          <w:bCs/>
        </w:rPr>
        <w:t xml:space="preserve">Using Smyrna to generate a prosperity-gospel rebuttal without letting the passage comfort the actually suffering.</w:t>
      </w:r>
      <w:r>
        <w:t xml:space="preserve"> </w:t>
      </w:r>
      <w:r>
        <w:t xml:space="preserve">Smyrna is frequently deployed in preaching as a counter-example to prosperity theology, which is legitimate —</w:t>
      </w:r>
      <w:r>
        <w:t xml:space="preserve"> </w:t>
      </w:r>
      <w:r>
        <w:t xml:space="preserve">“I know your poverty, but you are rich”</w:t>
      </w:r>
      <w:r>
        <w:t xml:space="preserve"> </w:t>
      </w:r>
      <w:r>
        <w:t xml:space="preserve">directly contradicts the prosperity framework. But if the passage is only used apologetically, it never accomplishes its primary intent: to comfort actual believers in actual suffering with the actual authority of the risen Christ who has been through death and come out the other side. Preach it to the suffering first; let the theological polemic be secondary.</w:t>
      </w:r>
    </w:p>
    <w:p>
      <w:pPr>
        <w:numPr>
          <w:ilvl w:val="0"/>
          <w:numId w:val="1002"/>
        </w:numPr>
      </w:pPr>
      <w:r>
        <w:rPr>
          <w:b/>
          <w:bCs/>
        </w:rPr>
        <w:t xml:space="preserve">Ignoring the geography and cultural context of Pergamum and Thyatira, which makes the toleration intelligible.</w:t>
      </w:r>
      <w:r>
        <w:t xml:space="preserve"> </w:t>
      </w:r>
      <w:r>
        <w:t xml:space="preserve">Pergamum was the seat of Roman imperial administration and the center of the imperial cult in Asia —</w:t>
      </w:r>
      <w:r>
        <w:t xml:space="preserve"> </w:t>
      </w:r>
      <w:r>
        <w:t xml:space="preserve">“where Satan’s throne is”</w:t>
      </w:r>
      <w:r>
        <w:t xml:space="preserve"> </w:t>
      </w:r>
      <w:r>
        <w:t xml:space="preserve">is not hyperbole; it is a description of a city where confessing Christ publicly could cost your life, your livelihood, and your social standing. Thyatira was a guild city; trade guild membership required participation in sacrificial meals at pagan temples. The temptation to accommodate was not abstract; it was economic and social survival. Preaching the rebuke without the context produces moralism (</w:t>
      </w:r>
      <w:r>
        <w:t xml:space="preserve">“they should have known better”</w:t>
      </w:r>
      <w:r>
        <w:t xml:space="preserve">) rather than pastoral realism (</w:t>
      </w:r>
      <w:r>
        <w:t xml:space="preserve">“the pressure was enormous, and they capitulated under it — and so might we”</w:t>
      </w:r>
      <w:r>
        <w:t xml:space="preserve">).</w:t>
      </w:r>
    </w:p>
    <w:p>
      <w:pPr>
        <w:numPr>
          <w:ilvl w:val="0"/>
          <w:numId w:val="1002"/>
        </w:numPr>
      </w:pPr>
      <w:r>
        <w:rPr>
          <w:b/>
          <w:bCs/>
        </w:rPr>
        <w:t xml:space="preserve">Extracting</w:t>
      </w:r>
      <w:r>
        <w:rPr>
          <w:b/>
          <w:bCs/>
        </w:rPr>
        <w:t xml:space="preserve"> </w:t>
      </w:r>
      <w:r>
        <w:rPr>
          <w:b/>
          <w:bCs/>
        </w:rPr>
        <w:t xml:space="preserve">“Jezebel”</w:t>
      </w:r>
      <w:r>
        <w:rPr>
          <w:b/>
          <w:bCs/>
        </w:rPr>
        <w:t xml:space="preserve"> </w:t>
      </w:r>
      <w:r>
        <w:rPr>
          <w:b/>
          <w:bCs/>
        </w:rPr>
        <w:t xml:space="preserve">as a character study or a gender-based lesson rather than hearing the structural warning about toleration.</w:t>
      </w:r>
      <w:r>
        <w:t xml:space="preserve"> </w:t>
      </w:r>
      <w:r>
        <w:t xml:space="preserve">The name</w:t>
      </w:r>
      <w:r>
        <w:t xml:space="preserve"> </w:t>
      </w:r>
      <w:r>
        <w:t xml:space="preserve">“Jezebel”</w:t>
      </w:r>
      <w:r>
        <w:t xml:space="preserve"> </w:t>
      </w:r>
      <w:r>
        <w:t xml:space="preserve">tends to generate either allegorical speculation (identifying contemporary figures) or gender-focused applications (about women in leadership) that the text does not support as primary. The text’s primary point is not about this woman’s gender but about the church’s</w:t>
      </w:r>
      <w:r>
        <w:t xml:space="preserve"> </w:t>
      </w:r>
      <w:r>
        <w:rPr>
          <w:i/>
          <w:iCs/>
        </w:rPr>
        <w:t xml:space="preserve">toleration</w:t>
      </w:r>
      <w:r>
        <w:t xml:space="preserve"> </w:t>
      </w:r>
      <w:r>
        <w:t xml:space="preserve">of her. Christ does not primarily rebuke Jezebel in this letter — He rebukes the church at Thyatira for allowing her to continue. Preaching that centers on Jezebel rather than on the church’s complicity in tolerating her has missed the structural weight of the passage.</w:t>
      </w:r>
    </w:p>
    <w:p>
      <w:pPr>
        <w:numPr>
          <w:ilvl w:val="0"/>
          <w:numId w:val="1002"/>
        </w:numPr>
      </w:pPr>
      <w:r>
        <w:rPr>
          <w:b/>
          <w:bCs/>
        </w:rPr>
        <w:t xml:space="preserve">Preaching the overcomer promises as reward for spiritual excellence rather than as inheritance for the faithful.</w:t>
      </w:r>
      <w:r>
        <w:t xml:space="preserve"> </w:t>
      </w:r>
      <w:r>
        <w:t xml:space="preserve">“The one who overcomes”</w:t>
      </w:r>
      <w:r>
        <w:t xml:space="preserve"> </w:t>
      </w:r>
      <w:r>
        <w:t xml:space="preserve">language creates a two-tier reading in which the promises are reserved for the spiritually exceptional — the martyrs, the heroic, those who have passed some high threshold of endurance. But John’s definition of overcoming (1 John 5:4–5) is simply saving faith. The promises are the inheritance of every genuine believer, given in advance as fuel for endurance. Preaching these promises as rewards to be earned strips them of their pastoral function: to make faithfulness feel proportionate and to make the accommodations of Pergamum and Thyatira feel as costly as they actually are.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2026-07-14T21:08:35Z</dcterms:created>
  <dcterms:modified xsi:type="dcterms:W3CDTF">2026-07-14T21:08:35Z</dcterms:modified>
</cp:coreProperties>
</file>

<file path=docProps/custom.xml><?xml version="1.0" encoding="utf-8"?>
<Properties xmlns="http://schemas.openxmlformats.org/officeDocument/2006/custom-properties" xmlns:vt="http://schemas.openxmlformats.org/officeDocument/2006/docPropsVTypes"/>
</file>